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459" w:type="dxa"/>
        <w:tblLayout w:type="fixed"/>
        <w:tblLook w:val="0000" w:firstRow="0" w:lastRow="0" w:firstColumn="0" w:lastColumn="0" w:noHBand="0" w:noVBand="0"/>
      </w:tblPr>
      <w:tblGrid>
        <w:gridCol w:w="4395"/>
        <w:gridCol w:w="1134"/>
        <w:gridCol w:w="803"/>
        <w:gridCol w:w="2899"/>
        <w:gridCol w:w="267"/>
        <w:gridCol w:w="1134"/>
      </w:tblGrid>
      <w:tr w:rsidR="00076E74" w:rsidTr="00681AE7">
        <w:trPr>
          <w:gridAfter w:val="1"/>
          <w:wAfter w:w="1134" w:type="dxa"/>
          <w:cantSplit/>
          <w:trHeight w:val="388"/>
        </w:trPr>
        <w:tc>
          <w:tcPr>
            <w:tcW w:w="5529" w:type="dxa"/>
            <w:gridSpan w:val="2"/>
          </w:tcPr>
          <w:p w:rsidR="00076E74" w:rsidRDefault="00076E74" w:rsidP="00681AE7">
            <w:pPr>
              <w:pStyle w:val="a3"/>
              <w:rPr>
                <w:rFonts w:ascii="Times New Roman" w:hAnsi="Times New Roman"/>
                <w:sz w:val="28"/>
                <w:szCs w:val="28"/>
              </w:rPr>
            </w:pPr>
            <w:r>
              <w:rPr>
                <w:rFonts w:ascii="Times New Roman" w:hAnsi="Times New Roman"/>
                <w:sz w:val="28"/>
                <w:szCs w:val="28"/>
              </w:rPr>
              <w:t xml:space="preserve">                            </w:t>
            </w:r>
            <w:r>
              <w:rPr>
                <w:rFonts w:ascii="Times New Roman" w:hAnsi="Times New Roman"/>
                <w:noProof/>
                <w:sz w:val="28"/>
                <w:szCs w:val="28"/>
              </w:rPr>
              <w:drawing>
                <wp:inline distT="0" distB="0" distL="0" distR="0">
                  <wp:extent cx="638175" cy="6762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076E74" w:rsidRDefault="00076E74" w:rsidP="00681AE7">
            <w:pPr>
              <w:jc w:val="center"/>
              <w:rPr>
                <w:b/>
                <w:szCs w:val="28"/>
              </w:rPr>
            </w:pPr>
            <w:r>
              <w:rPr>
                <w:b/>
                <w:szCs w:val="28"/>
              </w:rPr>
              <w:t>ΕΛΛΗΝΙΚΗ ΔΗΜΟΚΡΑΤΙΑ</w:t>
            </w:r>
          </w:p>
        </w:tc>
        <w:tc>
          <w:tcPr>
            <w:tcW w:w="3969" w:type="dxa"/>
            <w:gridSpan w:val="3"/>
          </w:tcPr>
          <w:p w:rsidR="00076E74" w:rsidRDefault="00076E74" w:rsidP="00681AE7">
            <w:pPr>
              <w:jc w:val="right"/>
              <w:rPr>
                <w:szCs w:val="28"/>
              </w:rPr>
            </w:pPr>
          </w:p>
          <w:p w:rsidR="00076E74" w:rsidRDefault="00076E74" w:rsidP="00681AE7">
            <w:pPr>
              <w:jc w:val="right"/>
              <w:rPr>
                <w:b/>
                <w:szCs w:val="28"/>
              </w:rPr>
            </w:pPr>
          </w:p>
          <w:p w:rsidR="00076E74" w:rsidRPr="007B6E82" w:rsidRDefault="00076E74" w:rsidP="00681AE7">
            <w:pPr>
              <w:rPr>
                <w:b/>
                <w:szCs w:val="28"/>
              </w:rPr>
            </w:pPr>
            <w:r>
              <w:rPr>
                <w:b/>
                <w:szCs w:val="28"/>
              </w:rPr>
              <w:t xml:space="preserve">            </w:t>
            </w:r>
          </w:p>
          <w:p w:rsidR="00076E74" w:rsidRDefault="00076E74" w:rsidP="00681AE7">
            <w:pPr>
              <w:rPr>
                <w:szCs w:val="28"/>
              </w:rPr>
            </w:pPr>
          </w:p>
          <w:p w:rsidR="00076E74" w:rsidRPr="003F7793" w:rsidRDefault="00076E74" w:rsidP="00681AE7">
            <w:pPr>
              <w:rPr>
                <w:szCs w:val="28"/>
              </w:rPr>
            </w:pPr>
            <w:r>
              <w:rPr>
                <w:szCs w:val="28"/>
              </w:rPr>
              <w:t xml:space="preserve">            Μοσχάτο,   22--7-2016 </w:t>
            </w:r>
          </w:p>
        </w:tc>
      </w:tr>
      <w:tr w:rsidR="00076E74" w:rsidTr="00681AE7">
        <w:tc>
          <w:tcPr>
            <w:tcW w:w="5529" w:type="dxa"/>
            <w:gridSpan w:val="2"/>
          </w:tcPr>
          <w:p w:rsidR="00076E74" w:rsidRDefault="00076E74" w:rsidP="00681AE7">
            <w:pPr>
              <w:pStyle w:val="1"/>
              <w:jc w:val="center"/>
              <w:rPr>
                <w:b/>
                <w:sz w:val="28"/>
                <w:szCs w:val="28"/>
              </w:rPr>
            </w:pPr>
            <w:r>
              <w:rPr>
                <w:b/>
                <w:sz w:val="28"/>
                <w:szCs w:val="28"/>
              </w:rPr>
              <w:t>ΔΗΜΟΣ  ΜΟΣΧΑΤΟΥ – ΤΑΥΡΟΥ</w:t>
            </w:r>
          </w:p>
          <w:p w:rsidR="00076E74" w:rsidRDefault="00076E74" w:rsidP="00681AE7"/>
          <w:p w:rsidR="00076E74" w:rsidRDefault="00076E74" w:rsidP="00681AE7">
            <w:pPr>
              <w:rPr>
                <w:b/>
              </w:rPr>
            </w:pPr>
            <w:r w:rsidRPr="00FC5FC5">
              <w:rPr>
                <w:b/>
              </w:rPr>
              <w:t xml:space="preserve">        ΝΟΜΙΚΗ  ΥΠΗΡΕΣΙΑ </w:t>
            </w:r>
          </w:p>
          <w:p w:rsidR="00076E74" w:rsidRPr="00FC5FC5" w:rsidRDefault="00076E74" w:rsidP="00681AE7">
            <w:pPr>
              <w:rPr>
                <w:b/>
              </w:rPr>
            </w:pPr>
          </w:p>
        </w:tc>
        <w:tc>
          <w:tcPr>
            <w:tcW w:w="803" w:type="dxa"/>
          </w:tcPr>
          <w:p w:rsidR="00076E74" w:rsidRDefault="00076E74" w:rsidP="00681AE7">
            <w:pPr>
              <w:rPr>
                <w:szCs w:val="28"/>
              </w:rPr>
            </w:pPr>
          </w:p>
        </w:tc>
        <w:tc>
          <w:tcPr>
            <w:tcW w:w="4300" w:type="dxa"/>
            <w:gridSpan w:val="3"/>
          </w:tcPr>
          <w:p w:rsidR="00076E74" w:rsidRDefault="00076E74" w:rsidP="00681AE7">
            <w:pPr>
              <w:rPr>
                <w:szCs w:val="28"/>
              </w:rPr>
            </w:pPr>
          </w:p>
        </w:tc>
      </w:tr>
      <w:tr w:rsidR="00076E74" w:rsidTr="00681AE7">
        <w:trPr>
          <w:gridAfter w:val="2"/>
          <w:wAfter w:w="1401" w:type="dxa"/>
        </w:trPr>
        <w:tc>
          <w:tcPr>
            <w:tcW w:w="4395" w:type="dxa"/>
          </w:tcPr>
          <w:p w:rsidR="00076E74" w:rsidRDefault="00076E74" w:rsidP="00681AE7">
            <w:pPr>
              <w:rPr>
                <w:szCs w:val="28"/>
              </w:rPr>
            </w:pPr>
            <w:r>
              <w:rPr>
                <w:szCs w:val="28"/>
              </w:rPr>
              <w:t xml:space="preserve">Δικηγόρος : Βασιλική Γ. Κοντοέ- Παπαθωμά </w:t>
            </w:r>
          </w:p>
        </w:tc>
        <w:tc>
          <w:tcPr>
            <w:tcW w:w="4836" w:type="dxa"/>
            <w:gridSpan w:val="3"/>
          </w:tcPr>
          <w:p w:rsidR="00076E74" w:rsidRDefault="00076E74" w:rsidP="00681AE7">
            <w:pPr>
              <w:jc w:val="both"/>
              <w:rPr>
                <w:b/>
                <w:spacing w:val="-12"/>
                <w:szCs w:val="28"/>
              </w:rPr>
            </w:pPr>
          </w:p>
        </w:tc>
      </w:tr>
    </w:tbl>
    <w:p w:rsidR="00076E74" w:rsidRDefault="00076E74" w:rsidP="00076E74">
      <w:pPr>
        <w:spacing w:line="360" w:lineRule="auto"/>
      </w:pPr>
      <w:r>
        <w:tab/>
      </w:r>
      <w:r>
        <w:tab/>
      </w:r>
      <w:r>
        <w:tab/>
      </w:r>
      <w:r>
        <w:tab/>
      </w:r>
      <w:r>
        <w:tab/>
      </w:r>
      <w:r>
        <w:tab/>
      </w:r>
      <w:r>
        <w:tab/>
      </w:r>
      <w:r>
        <w:tab/>
      </w:r>
      <w:r>
        <w:tab/>
      </w:r>
      <w:r>
        <w:tab/>
      </w:r>
      <w:r>
        <w:tab/>
      </w:r>
      <w:r>
        <w:tab/>
      </w:r>
      <w:r>
        <w:tab/>
      </w:r>
      <w:r>
        <w:tab/>
      </w:r>
      <w:r>
        <w:tab/>
      </w:r>
      <w:r>
        <w:tab/>
      </w:r>
      <w:r>
        <w:tab/>
      </w:r>
      <w:r>
        <w:tab/>
      </w:r>
      <w:r>
        <w:tab/>
      </w:r>
    </w:p>
    <w:p w:rsidR="00076E74" w:rsidRDefault="00076E74" w:rsidP="00076E74">
      <w:pPr>
        <w:spacing w:line="360" w:lineRule="auto"/>
        <w:jc w:val="center"/>
      </w:pPr>
      <w:r>
        <w:t xml:space="preserve">                                                                 ΠΡΟΣ </w:t>
      </w:r>
    </w:p>
    <w:p w:rsidR="00076E74" w:rsidRDefault="00076E74" w:rsidP="00076E74">
      <w:pPr>
        <w:spacing w:line="360" w:lineRule="auto"/>
        <w:jc w:val="center"/>
      </w:pPr>
    </w:p>
    <w:p w:rsidR="00076E74" w:rsidRDefault="00076E74" w:rsidP="00076E74">
      <w:pPr>
        <w:spacing w:line="360" w:lineRule="auto"/>
        <w:jc w:val="right"/>
      </w:pPr>
      <w:r>
        <w:t xml:space="preserve">                                                                 Τον κ. Πρόεδρο του     </w:t>
      </w:r>
      <w:r>
        <w:tab/>
      </w:r>
      <w:r>
        <w:tab/>
        <w:t xml:space="preserve">Δημοτικού Συμβουλίου </w:t>
      </w:r>
    </w:p>
    <w:p w:rsidR="00076E74" w:rsidRDefault="00076E74" w:rsidP="00076E74">
      <w:pPr>
        <w:spacing w:line="360" w:lineRule="auto"/>
        <w:rPr>
          <w:smallCaps/>
        </w:rPr>
      </w:pPr>
      <w:r>
        <w:rPr>
          <w:smallCaps/>
        </w:rPr>
        <w:tab/>
        <w:t xml:space="preserve">                                                                                </w:t>
      </w:r>
    </w:p>
    <w:p w:rsidR="00076E74" w:rsidRDefault="00076E74" w:rsidP="00076E74">
      <w:pPr>
        <w:spacing w:line="360" w:lineRule="auto"/>
        <w:jc w:val="center"/>
      </w:pPr>
      <w:r>
        <w:rPr>
          <w:smallCaps/>
        </w:rPr>
        <w:t xml:space="preserve">                          </w:t>
      </w:r>
      <w:r w:rsidR="00F72C24">
        <w:rPr>
          <w:smallCaps/>
        </w:rPr>
        <w:t xml:space="preserve">       </w:t>
      </w:r>
      <w:r>
        <w:rPr>
          <w:smallCaps/>
        </w:rPr>
        <w:t xml:space="preserve">    Κοιν. :   1)  </w:t>
      </w:r>
      <w:r w:rsidRPr="00F810A7">
        <w:t>κ</w:t>
      </w:r>
      <w:r>
        <w:t xml:space="preserve">.  Δήμαρχο </w:t>
      </w:r>
    </w:p>
    <w:p w:rsidR="00076E74" w:rsidRDefault="00076E74" w:rsidP="00076E74">
      <w:pPr>
        <w:spacing w:line="360" w:lineRule="auto"/>
        <w:jc w:val="center"/>
      </w:pPr>
      <w:r>
        <w:t xml:space="preserve">                                  </w:t>
      </w:r>
      <w:r w:rsidR="00F72C24">
        <w:t xml:space="preserve">                     </w:t>
      </w:r>
      <w:r>
        <w:t xml:space="preserve">   </w:t>
      </w:r>
      <w:r w:rsidR="00F72C24" w:rsidRPr="00F72C24">
        <w:t xml:space="preserve"> </w:t>
      </w:r>
      <w:r w:rsidR="00F72C24" w:rsidRPr="00616C0B">
        <w:tab/>
        <w:t xml:space="preserve">  </w:t>
      </w:r>
      <w:r>
        <w:t xml:space="preserve"> 2)  κ. Αντιδήμαρχο </w:t>
      </w:r>
      <w:r>
        <w:tab/>
      </w:r>
      <w:r>
        <w:tab/>
      </w:r>
      <w:r>
        <w:tab/>
      </w:r>
      <w:r>
        <w:tab/>
      </w:r>
      <w:r>
        <w:tab/>
      </w:r>
      <w:r>
        <w:tab/>
      </w:r>
      <w:r>
        <w:tab/>
      </w:r>
      <w:r>
        <w:tab/>
        <w:t xml:space="preserve">Οικονομικών                                       </w:t>
      </w:r>
    </w:p>
    <w:p w:rsidR="00076E74" w:rsidRDefault="00F72C24" w:rsidP="00076E74">
      <w:pPr>
        <w:spacing w:line="360" w:lineRule="auto"/>
        <w:jc w:val="center"/>
      </w:pPr>
      <w:r>
        <w:tab/>
      </w:r>
      <w:r>
        <w:tab/>
      </w:r>
      <w:r>
        <w:tab/>
      </w:r>
      <w:r>
        <w:tab/>
      </w:r>
      <w:r>
        <w:tab/>
      </w:r>
      <w:r w:rsidRPr="00616C0B">
        <w:t xml:space="preserve">     </w:t>
      </w:r>
      <w:r w:rsidR="00076E74">
        <w:t xml:space="preserve">3) κ. Γεν. Γραμματέα                    </w:t>
      </w:r>
    </w:p>
    <w:p w:rsidR="00076E74" w:rsidRDefault="00076E74" w:rsidP="00076E74">
      <w:pPr>
        <w:spacing w:line="360" w:lineRule="auto"/>
      </w:pPr>
      <w:r>
        <w:t xml:space="preserve">                                                                       4)    Διεύθυνση Οικονομικών </w:t>
      </w:r>
    </w:p>
    <w:p w:rsidR="00076E74" w:rsidRDefault="00076E74" w:rsidP="00076E74">
      <w:pPr>
        <w:spacing w:line="360" w:lineRule="auto"/>
      </w:pPr>
      <w:r>
        <w:t xml:space="preserve">                                                                       5)</w:t>
      </w:r>
      <w:r w:rsidRPr="00DC3CD3">
        <w:t xml:space="preserve"> </w:t>
      </w:r>
      <w:r>
        <w:t xml:space="preserve">Διεύθυνση   τεχνικών </w:t>
      </w:r>
      <w:r>
        <w:tab/>
      </w:r>
      <w:r>
        <w:tab/>
      </w:r>
      <w:r>
        <w:tab/>
      </w:r>
      <w:r>
        <w:tab/>
      </w:r>
      <w:r>
        <w:tab/>
      </w:r>
      <w:r>
        <w:tab/>
      </w:r>
      <w:r>
        <w:tab/>
      </w:r>
      <w:r>
        <w:tab/>
        <w:t xml:space="preserve">υπηρεσιών και Δόμησης </w:t>
      </w:r>
    </w:p>
    <w:p w:rsidR="00076E74" w:rsidRDefault="00076E74" w:rsidP="00076E74">
      <w:pPr>
        <w:spacing w:line="360" w:lineRule="auto"/>
        <w:rPr>
          <w:smallCaps/>
        </w:rPr>
      </w:pPr>
      <w:r>
        <w:t xml:space="preserve">                                                        </w:t>
      </w:r>
    </w:p>
    <w:p w:rsidR="00076E74" w:rsidRDefault="00076E74" w:rsidP="00076E74">
      <w:pPr>
        <w:rPr>
          <w:smallCaps/>
        </w:rPr>
      </w:pPr>
    </w:p>
    <w:p w:rsidR="00076E74" w:rsidRDefault="00076E74" w:rsidP="00076E74">
      <w:pPr>
        <w:spacing w:line="360" w:lineRule="auto"/>
      </w:pPr>
      <w:r w:rsidRPr="005A7C56">
        <w:rPr>
          <w:b/>
          <w:smallCaps/>
          <w:sz w:val="32"/>
          <w:szCs w:val="32"/>
        </w:rPr>
        <w:t xml:space="preserve">θεμα  </w:t>
      </w:r>
      <w:r w:rsidRPr="00434B69">
        <w:rPr>
          <w:b/>
          <w:smallCaps/>
        </w:rPr>
        <w:t>:</w:t>
      </w:r>
      <w:r>
        <w:rPr>
          <w:smallCaps/>
        </w:rPr>
        <w:t xml:space="preserve">  Κ</w:t>
      </w:r>
      <w:r>
        <w:t xml:space="preserve">αταβολή  αποζημίωσης  εδαφικής έκτασης   επί της οδού  Κορυτσάς   στην περιοχή &lt;&lt;  Περιβόλια&gt;&gt;   της Δημοτικής Ενότητας  Ταύρου  ,ιδιοκτησίας  Κων/νου  Πανταζή  ,σύμφωνα με την  υπ. Αρ.  5427/2015  απόφαση του  Εφετείου Αθηνών </w:t>
      </w:r>
    </w:p>
    <w:p w:rsidR="00076E74" w:rsidRDefault="00076E74" w:rsidP="00076E74">
      <w:pPr>
        <w:spacing w:line="360" w:lineRule="auto"/>
      </w:pPr>
    </w:p>
    <w:p w:rsidR="00F72C24" w:rsidRPr="00F72C24" w:rsidRDefault="00076E74" w:rsidP="004150E0">
      <w:pPr>
        <w:spacing w:line="360" w:lineRule="auto"/>
        <w:jc w:val="both"/>
      </w:pPr>
      <w:r w:rsidRPr="005B2C03">
        <w:rPr>
          <w:b/>
        </w:rPr>
        <w:lastRenderedPageBreak/>
        <w:t>Σχετικά      :</w:t>
      </w:r>
      <w:r>
        <w:t xml:space="preserve">  1). Η με αρ. 5427/2015 Απόφαση   του Εφετείου Αθηνών Καθορισμού  Οριστικής Τιμής  Μονάδος  </w:t>
      </w:r>
      <w:r w:rsidR="00F72C24" w:rsidRPr="00F72C24">
        <w:t xml:space="preserve"> </w:t>
      </w:r>
    </w:p>
    <w:p w:rsidR="00076E74" w:rsidRDefault="00076E74" w:rsidP="004150E0">
      <w:pPr>
        <w:spacing w:line="360" w:lineRule="auto"/>
        <w:jc w:val="both"/>
      </w:pPr>
      <w:r>
        <w:t xml:space="preserve">2)   Η  με αρ. πρωτ. 5956/9-3-2016  αίτηση του Κων/νου Πανταζή                3)  Η με αρ.  14/10 Μαίου  2016   απόφαση – εισήγηση  της Επιτροπής Ποιότητας Ζωής  </w:t>
      </w:r>
    </w:p>
    <w:p w:rsidR="00076E74" w:rsidRDefault="00076E74" w:rsidP="004150E0">
      <w:pPr>
        <w:spacing w:line="360" w:lineRule="auto"/>
        <w:jc w:val="both"/>
      </w:pPr>
      <w:r>
        <w:t xml:space="preserve">4) Το από  1-6-2016  έγγραφο –Πρόσκληση  προς τον κ. Πανταζή  για την υποβολή  της προβλεπόμενης στην  διάταξη  του άρθρου  11 παρ. 3 εδ. 2 του ν.  2882/2001  αίτησης και υπεύθυνης  δήλωσης  </w:t>
      </w:r>
    </w:p>
    <w:p w:rsidR="00076E74" w:rsidRDefault="00076E74" w:rsidP="004150E0">
      <w:pPr>
        <w:spacing w:line="360" w:lineRule="auto"/>
        <w:jc w:val="both"/>
      </w:pPr>
      <w:r>
        <w:t>5)  η με αρ.  πρωτ.14514/13-6-2016    αίτηση  του κ. Πανταζή στην οποία επισυνάπτεται η  από 13-6-2016 υπεύθυνη δήλωση αυτού   με βεβαίωση του γνησίου της υπογραφής του  .</w:t>
      </w:r>
    </w:p>
    <w:p w:rsidR="00076E74" w:rsidRPr="00F72C24" w:rsidRDefault="00076E74" w:rsidP="004150E0">
      <w:pPr>
        <w:spacing w:line="360" w:lineRule="auto"/>
        <w:jc w:val="both"/>
      </w:pPr>
      <w:r>
        <w:t xml:space="preserve">6) Το  από 24-6-2016  έγγραφο  της  Δ/νσης </w:t>
      </w:r>
      <w:r w:rsidR="00F72C24">
        <w:t xml:space="preserve"> Τεχνικών Υπηρεσιών και Δόμησης</w:t>
      </w:r>
    </w:p>
    <w:p w:rsidR="00F72C24" w:rsidRPr="00F72C24" w:rsidRDefault="00F72C24" w:rsidP="004150E0">
      <w:pPr>
        <w:spacing w:line="360" w:lineRule="auto"/>
        <w:jc w:val="both"/>
      </w:pPr>
      <w:r w:rsidRPr="00F72C24">
        <w:t xml:space="preserve">7) </w:t>
      </w:r>
      <w:r>
        <w:rPr>
          <w:lang w:val="en-US"/>
        </w:rPr>
        <w:t>H</w:t>
      </w:r>
      <w:r w:rsidRPr="00F72C24">
        <w:t xml:space="preserve"> </w:t>
      </w:r>
      <w:r>
        <w:t xml:space="preserve">υπ ΄ αρ. 231/30-4-2014  απόφαση  του Μονομελούς Πρωτοδικείου  Αθηνών με την οποία καθορίστηκε  προσωρινή τιμή μονάδος </w:t>
      </w:r>
    </w:p>
    <w:p w:rsidR="00076E74" w:rsidRDefault="00076E74" w:rsidP="004150E0">
      <w:pPr>
        <w:pBdr>
          <w:bottom w:val="single" w:sz="6" w:space="1" w:color="auto"/>
        </w:pBdr>
        <w:spacing w:line="360" w:lineRule="auto"/>
        <w:jc w:val="both"/>
      </w:pPr>
    </w:p>
    <w:p w:rsidR="00076E74" w:rsidRDefault="00076E74" w:rsidP="004150E0">
      <w:pPr>
        <w:spacing w:line="360" w:lineRule="auto"/>
        <w:ind w:left="567"/>
        <w:jc w:val="both"/>
        <w:rPr>
          <w:szCs w:val="28"/>
        </w:rPr>
      </w:pPr>
    </w:p>
    <w:p w:rsidR="00076E74" w:rsidRDefault="00076E74" w:rsidP="004150E0">
      <w:pPr>
        <w:spacing w:line="360" w:lineRule="auto"/>
        <w:jc w:val="both"/>
        <w:rPr>
          <w:szCs w:val="28"/>
        </w:rPr>
      </w:pPr>
    </w:p>
    <w:p w:rsidR="00076E74" w:rsidRDefault="00076E74" w:rsidP="004150E0">
      <w:pPr>
        <w:spacing w:line="360" w:lineRule="auto"/>
        <w:ind w:left="567"/>
        <w:jc w:val="both"/>
        <w:rPr>
          <w:szCs w:val="28"/>
        </w:rPr>
      </w:pPr>
      <w:r>
        <w:rPr>
          <w:szCs w:val="28"/>
        </w:rPr>
        <w:t xml:space="preserve">Ι.      </w:t>
      </w:r>
      <w:r>
        <w:rPr>
          <w:szCs w:val="28"/>
          <w:lang w:val="en-US"/>
        </w:rPr>
        <w:t>To</w:t>
      </w:r>
      <w:r>
        <w:rPr>
          <w:szCs w:val="28"/>
        </w:rPr>
        <w:t xml:space="preserve">  απαλλοτριούμενο  ακίνητο βρίσκεται επί της  οδού Κορυτσάς,   μεταξύ των  οικοδομικών τετραγώνων Γ 209 κα Γ211 στον τομέα Β της περιοχής  &lt;&lt;Περιβόλια&gt;&gt;  της Δημοτικής ενότητας  Ταύρου του Δήμου Μοσχάτου-Ταύρου .   </w:t>
      </w:r>
      <w:r w:rsidRPr="0092145E">
        <w:rPr>
          <w:szCs w:val="28"/>
        </w:rPr>
        <w:t xml:space="preserve"> </w:t>
      </w:r>
      <w:r w:rsidRPr="00C92CD0">
        <w:rPr>
          <w:szCs w:val="28"/>
        </w:rPr>
        <w:t xml:space="preserve">  </w:t>
      </w:r>
      <w:r>
        <w:rPr>
          <w:szCs w:val="28"/>
        </w:rPr>
        <w:t xml:space="preserve">     </w:t>
      </w:r>
      <w:r>
        <w:rPr>
          <w:szCs w:val="28"/>
        </w:rPr>
        <w:tab/>
        <w:t xml:space="preserve">                   </w:t>
      </w:r>
    </w:p>
    <w:p w:rsidR="00D448D0" w:rsidRDefault="00076E74" w:rsidP="004150E0">
      <w:pPr>
        <w:pStyle w:val="21"/>
        <w:ind w:left="0"/>
        <w:rPr>
          <w:rFonts w:ascii="Times New Roman" w:hAnsi="Times New Roman"/>
          <w:sz w:val="28"/>
          <w:szCs w:val="28"/>
        </w:rPr>
      </w:pPr>
      <w:r>
        <w:rPr>
          <w:rFonts w:ascii="Times New Roman" w:hAnsi="Times New Roman"/>
          <w:sz w:val="28"/>
          <w:szCs w:val="28"/>
        </w:rPr>
        <w:t xml:space="preserve">          Με την από  25-5-2012  αίτηση Καθορισμού προσωρινής τιμής μονάδος    ενώπιον του Μονομελούς Πρωτοδικείου Αθηνών,  ο ιδιοκτήτης  του παραπάνω ακινήτου  Κων/νος Πανταζής    ζήτησε  να καθοριστεί    προσωρινή τιμή μονάδος  για το παραπάνω απαλλοτριούμενο ακίνητό του </w:t>
      </w:r>
      <w:r w:rsidR="00D448D0">
        <w:rPr>
          <w:rFonts w:ascii="Times New Roman" w:hAnsi="Times New Roman"/>
          <w:sz w:val="28"/>
          <w:szCs w:val="28"/>
        </w:rPr>
        <w:t xml:space="preserve">στο ποσό των 1200 Ευρώ/μ2 </w:t>
      </w:r>
      <w:r>
        <w:rPr>
          <w:rFonts w:ascii="Times New Roman" w:hAnsi="Times New Roman"/>
          <w:sz w:val="28"/>
          <w:szCs w:val="28"/>
        </w:rPr>
        <w:t xml:space="preserve"> </w:t>
      </w:r>
      <w:r w:rsidR="00F72C24">
        <w:rPr>
          <w:rFonts w:ascii="Times New Roman" w:hAnsi="Times New Roman"/>
          <w:sz w:val="28"/>
          <w:szCs w:val="28"/>
        </w:rPr>
        <w:t>,</w:t>
      </w:r>
      <w:r w:rsidR="00616C0B">
        <w:rPr>
          <w:rFonts w:ascii="Times New Roman" w:hAnsi="Times New Roman"/>
          <w:sz w:val="28"/>
          <w:szCs w:val="28"/>
        </w:rPr>
        <w:t xml:space="preserve"> αρχικής</w:t>
      </w:r>
      <w:bookmarkStart w:id="0" w:name="_GoBack"/>
      <w:bookmarkEnd w:id="0"/>
      <w:r w:rsidR="00F72C24">
        <w:rPr>
          <w:rFonts w:ascii="Times New Roman" w:hAnsi="Times New Roman"/>
          <w:sz w:val="28"/>
          <w:szCs w:val="28"/>
        </w:rPr>
        <w:t xml:space="preserve"> </w:t>
      </w:r>
      <w:r>
        <w:rPr>
          <w:rFonts w:ascii="Times New Roman" w:hAnsi="Times New Roman"/>
          <w:sz w:val="28"/>
          <w:szCs w:val="28"/>
        </w:rPr>
        <w:t xml:space="preserve">έκτασης  560,58 μ2 και   να αναγνωριστεί δικαιούχος της  </w:t>
      </w:r>
      <w:r>
        <w:rPr>
          <w:rFonts w:ascii="Times New Roman" w:hAnsi="Times New Roman"/>
          <w:sz w:val="28"/>
          <w:szCs w:val="28"/>
        </w:rPr>
        <w:lastRenderedPageBreak/>
        <w:t xml:space="preserve">καθορισθησομένης αποζημίωσης. </w:t>
      </w:r>
      <w:r w:rsidR="00D448D0">
        <w:rPr>
          <w:rFonts w:ascii="Times New Roman" w:hAnsi="Times New Roman"/>
          <w:sz w:val="28"/>
          <w:szCs w:val="28"/>
        </w:rPr>
        <w:t xml:space="preserve">Ο Δήμος  Μοσχάτου –Ταύρου άσκησε νόμιμα ανταίτηση  και ζήτησε  να καθοριστεί η τιμή  στο 160 Ευρώ /μ2  </w:t>
      </w:r>
    </w:p>
    <w:p w:rsidR="00076E74" w:rsidRDefault="00D448D0" w:rsidP="004150E0">
      <w:pPr>
        <w:pStyle w:val="21"/>
        <w:ind w:left="0"/>
      </w:pPr>
      <w:r>
        <w:rPr>
          <w:rFonts w:ascii="Times New Roman" w:hAnsi="Times New Roman"/>
          <w:sz w:val="28"/>
          <w:szCs w:val="28"/>
        </w:rPr>
        <w:t xml:space="preserve"> Επί της αιτήσεως  του  κ. Πανταζή και της ανταιτήσεως του Δήμου, που συνεκδικάστηκαν   </w:t>
      </w:r>
      <w:r w:rsidR="00076E74">
        <w:rPr>
          <w:rFonts w:ascii="Times New Roman" w:hAnsi="Times New Roman"/>
          <w:sz w:val="28"/>
          <w:szCs w:val="28"/>
        </w:rPr>
        <w:t xml:space="preserve"> εκδόθηκε η </w:t>
      </w:r>
      <w:r w:rsidR="00076E74" w:rsidRPr="00F72C24">
        <w:rPr>
          <w:rFonts w:ascii="Times New Roman" w:hAnsi="Times New Roman"/>
          <w:b/>
          <w:sz w:val="28"/>
          <w:szCs w:val="28"/>
        </w:rPr>
        <w:t>υπ αρ.  231/</w:t>
      </w:r>
      <w:r w:rsidR="00F72C24">
        <w:rPr>
          <w:rFonts w:ascii="Times New Roman" w:hAnsi="Times New Roman"/>
          <w:b/>
          <w:sz w:val="28"/>
          <w:szCs w:val="28"/>
        </w:rPr>
        <w:t>30-4-</w:t>
      </w:r>
      <w:r w:rsidR="00076E74" w:rsidRPr="00F72C24">
        <w:rPr>
          <w:rFonts w:ascii="Times New Roman" w:hAnsi="Times New Roman"/>
          <w:b/>
          <w:sz w:val="28"/>
          <w:szCs w:val="28"/>
        </w:rPr>
        <w:t>2014  απόφαση   του Μονομελούς Πρωτοδικείου Αθηνών (</w:t>
      </w:r>
      <w:r w:rsidR="00076E74">
        <w:rPr>
          <w:rFonts w:ascii="Times New Roman" w:hAnsi="Times New Roman"/>
          <w:sz w:val="28"/>
          <w:szCs w:val="28"/>
        </w:rPr>
        <w:t xml:space="preserve">τμήμα Απαλλοτριώσεων)     </w:t>
      </w:r>
      <w:r>
        <w:rPr>
          <w:rFonts w:ascii="Times New Roman" w:hAnsi="Times New Roman"/>
          <w:sz w:val="28"/>
          <w:szCs w:val="28"/>
        </w:rPr>
        <w:t>,</w:t>
      </w:r>
      <w:r w:rsidR="00076E74">
        <w:rPr>
          <w:rFonts w:ascii="Times New Roman" w:hAnsi="Times New Roman"/>
          <w:sz w:val="28"/>
          <w:szCs w:val="28"/>
        </w:rPr>
        <w:t xml:space="preserve">με την οποία  </w:t>
      </w:r>
      <w:r w:rsidR="00076E74" w:rsidRPr="00F72C24">
        <w:rPr>
          <w:rFonts w:ascii="Times New Roman" w:hAnsi="Times New Roman"/>
          <w:b/>
          <w:sz w:val="28"/>
          <w:szCs w:val="28"/>
        </w:rPr>
        <w:t>καθορίστηκε    η προσωρινή  τιμή μονάδος αποζημιώσεως</w:t>
      </w:r>
      <w:r w:rsidR="00076E74">
        <w:rPr>
          <w:rFonts w:ascii="Times New Roman" w:hAnsi="Times New Roman"/>
          <w:sz w:val="28"/>
          <w:szCs w:val="28"/>
        </w:rPr>
        <w:t xml:space="preserve">  στο ποσόν  των  διακοσίων είκοσι τριών  </w:t>
      </w:r>
      <w:r w:rsidR="00076E74" w:rsidRPr="00D448D0">
        <w:rPr>
          <w:rFonts w:ascii="Times New Roman" w:hAnsi="Times New Roman"/>
          <w:b/>
          <w:sz w:val="28"/>
          <w:szCs w:val="28"/>
        </w:rPr>
        <w:t>223  Ευρώ/  ανά μέτρο</w:t>
      </w:r>
      <w:r w:rsidR="00076E74">
        <w:rPr>
          <w:rFonts w:ascii="Times New Roman" w:hAnsi="Times New Roman"/>
          <w:sz w:val="28"/>
          <w:szCs w:val="28"/>
        </w:rPr>
        <w:t xml:space="preserve"> τετραγωνικό και </w:t>
      </w:r>
      <w:r w:rsidR="00076E74" w:rsidRPr="00F72C24">
        <w:rPr>
          <w:rFonts w:ascii="Times New Roman" w:hAnsi="Times New Roman"/>
          <w:b/>
          <w:sz w:val="28"/>
          <w:szCs w:val="28"/>
        </w:rPr>
        <w:t>αναγνωρίστηκε δικαιούχος της αποζημίωσης ο αιτών</w:t>
      </w:r>
      <w:r w:rsidR="00076E74">
        <w:rPr>
          <w:rFonts w:ascii="Times New Roman" w:hAnsi="Times New Roman"/>
          <w:sz w:val="28"/>
          <w:szCs w:val="28"/>
        </w:rPr>
        <w:t xml:space="preserve"> </w:t>
      </w:r>
      <w:r w:rsidR="004150E0">
        <w:rPr>
          <w:rFonts w:ascii="Times New Roman" w:hAnsi="Times New Roman"/>
          <w:sz w:val="28"/>
          <w:szCs w:val="28"/>
        </w:rPr>
        <w:t xml:space="preserve"> (σχετ. 7 )</w:t>
      </w:r>
      <w:r w:rsidR="00076E74">
        <w:rPr>
          <w:rFonts w:ascii="Times New Roman" w:hAnsi="Times New Roman"/>
          <w:sz w:val="28"/>
          <w:szCs w:val="28"/>
        </w:rPr>
        <w:t xml:space="preserve"> .  </w:t>
      </w:r>
    </w:p>
    <w:p w:rsidR="00076E74" w:rsidRPr="00D448D0" w:rsidRDefault="00076E74" w:rsidP="004150E0">
      <w:pPr>
        <w:spacing w:line="360" w:lineRule="auto"/>
        <w:jc w:val="both"/>
        <w:rPr>
          <w:b/>
        </w:rPr>
      </w:pPr>
      <w:r>
        <w:rPr>
          <w:smallCaps/>
        </w:rPr>
        <w:t xml:space="preserve">           Μ</w:t>
      </w:r>
      <w:r>
        <w:t xml:space="preserve">ε την από  </w:t>
      </w:r>
      <w:r w:rsidR="00F72C24">
        <w:t xml:space="preserve">23-10-2014 </w:t>
      </w:r>
      <w:r>
        <w:t xml:space="preserve">     αίτησή του   Ενώπιον του Εφετείου  Αθηνών </w:t>
      </w:r>
      <w:r w:rsidR="00D448D0">
        <w:t>,</w:t>
      </w:r>
      <w:r>
        <w:t xml:space="preserve"> </w:t>
      </w:r>
      <w:r w:rsidRPr="00F72C24">
        <w:rPr>
          <w:b/>
        </w:rPr>
        <w:t>ο Δήμος  Μοσχάτου-Ταύρου ζήτησε  τον καθορισμό της Οριστικής τιμής μονάδος</w:t>
      </w:r>
      <w:r w:rsidR="00D448D0">
        <w:rPr>
          <w:b/>
        </w:rPr>
        <w:t xml:space="preserve"> στο  ποσόν </w:t>
      </w:r>
      <w:r>
        <w:t xml:space="preserve"> </w:t>
      </w:r>
      <w:r w:rsidR="00D448D0">
        <w:t xml:space="preserve">των 160 Ευρώ ανά μ2 </w:t>
      </w:r>
      <w:r>
        <w:t xml:space="preserve">.  Επί της αιτήσεως αυτής εκδόθηκε  </w:t>
      </w:r>
      <w:r w:rsidRPr="00D448D0">
        <w:rPr>
          <w:b/>
        </w:rPr>
        <w:t xml:space="preserve">η υπ αρ. 5427/2015  απόφαση του Εφετείου  Αθηνών  </w:t>
      </w:r>
      <w:r w:rsidRPr="00D448D0">
        <w:t xml:space="preserve">η οποία καθόρισε την </w:t>
      </w:r>
      <w:r w:rsidR="00D448D0">
        <w:t xml:space="preserve"> Οριστική </w:t>
      </w:r>
      <w:r w:rsidR="00D448D0" w:rsidRPr="00D448D0">
        <w:t>τιμή μονάδος  του επίδικου  ακινήτου</w:t>
      </w:r>
      <w:r w:rsidR="00D448D0">
        <w:rPr>
          <w:b/>
        </w:rPr>
        <w:t xml:space="preserve"> </w:t>
      </w:r>
      <w:r w:rsidR="00D448D0" w:rsidRPr="00D448D0">
        <w:rPr>
          <w:b/>
        </w:rPr>
        <w:t>στο ποσόν των170</w:t>
      </w:r>
      <w:r w:rsidR="00D448D0">
        <w:rPr>
          <w:b/>
        </w:rPr>
        <w:t xml:space="preserve"> </w:t>
      </w:r>
      <w:r w:rsidRPr="00D448D0">
        <w:rPr>
          <w:b/>
        </w:rPr>
        <w:t>Ευρώ</w:t>
      </w:r>
      <w:r w:rsidR="00D448D0" w:rsidRPr="00D448D0">
        <w:rPr>
          <w:b/>
        </w:rPr>
        <w:t xml:space="preserve">/μ2 </w:t>
      </w:r>
      <w:r w:rsidRPr="00D448D0">
        <w:rPr>
          <w:b/>
        </w:rPr>
        <w:t xml:space="preserve"> </w:t>
      </w:r>
      <w:r w:rsidR="004150E0">
        <w:rPr>
          <w:b/>
        </w:rPr>
        <w:t xml:space="preserve"> (σχετ. 1 )</w:t>
      </w:r>
      <w:r w:rsidRPr="00D448D0">
        <w:rPr>
          <w:b/>
        </w:rPr>
        <w:t xml:space="preserve"> .</w:t>
      </w:r>
    </w:p>
    <w:p w:rsidR="004150E0" w:rsidRDefault="00076E74" w:rsidP="004150E0">
      <w:pPr>
        <w:spacing w:line="360" w:lineRule="auto"/>
        <w:jc w:val="both"/>
      </w:pPr>
      <w:r>
        <w:t xml:space="preserve">   </w:t>
      </w:r>
      <w:r w:rsidR="00D448D0">
        <w:t xml:space="preserve">     </w:t>
      </w:r>
      <w:r>
        <w:t xml:space="preserve"> Με την  υπ αρ.  αρ. πρωτ. 5956/9-3-2016  αίτηση του (σχετ.  2)  ο κ. Κων/νος Πανταζής  ζήτησε   να  καταβληθεί  σε αυτόν η  αποζημίωση  που προσδιορίστηκε  με την υπ αρ 5427/2015  απόφαση του Εφετείου Αθηνών  </w:t>
      </w:r>
      <w:r w:rsidR="004150E0">
        <w:t xml:space="preserve"> </w:t>
      </w:r>
      <w:r>
        <w:t xml:space="preserve">διαφορετικά </w:t>
      </w:r>
      <w:r w:rsidR="004150E0">
        <w:t xml:space="preserve">, </w:t>
      </w:r>
      <w:r>
        <w:t xml:space="preserve"> να  προχωρήσει ο Δήμος στην Διαδικασία της αποδέσμευσης  του ακινήτου του .</w:t>
      </w:r>
    </w:p>
    <w:p w:rsidR="00076E74" w:rsidRDefault="00076E74" w:rsidP="004150E0">
      <w:pPr>
        <w:spacing w:line="360" w:lineRule="auto"/>
        <w:jc w:val="both"/>
      </w:pPr>
      <w:r>
        <w:t xml:space="preserve">        Η αίτηση αυτή  διαβιβάστηκε,  συνοδευόμενη  από σχετική   εισήγηση  για το θέμα</w:t>
      </w:r>
      <w:r w:rsidR="004150E0">
        <w:t xml:space="preserve">, </w:t>
      </w:r>
      <w:r>
        <w:t xml:space="preserve">  από την  Δ/νση   Τεχνικών Υπηρεσιών  και Δόμησης    στην  Επιτροπή  ποιότητας ζωής η οποία έλαβε  την με αρ.  14/10 Μαΐου  2016   απόφαση – εισήγηση  της προς το Δημοτικό  Συμβούλιο (σχετ</w:t>
      </w:r>
      <w:r w:rsidR="004150E0">
        <w:t xml:space="preserve"> 3</w:t>
      </w:r>
      <w:r>
        <w:t xml:space="preserve">)  με την οποία </w:t>
      </w:r>
      <w:r w:rsidRPr="004150E0">
        <w:rPr>
          <w:b/>
        </w:rPr>
        <w:t xml:space="preserve">εισηγείται την διατήρηση  της απαλλοτρίωσης και  την καταβολή στον αιτούντα της καθορισθείσας  από το Εφετείο     αποζημίωσης  </w:t>
      </w:r>
      <w:r>
        <w:t xml:space="preserve">. </w:t>
      </w:r>
    </w:p>
    <w:p w:rsidR="00076E74" w:rsidRDefault="00076E74" w:rsidP="004150E0">
      <w:pPr>
        <w:pStyle w:val="-HTML"/>
        <w:spacing w:line="360" w:lineRule="auto"/>
        <w:jc w:val="both"/>
        <w:rPr>
          <w:rFonts w:ascii="Times New Roman" w:hAnsi="Times New Roman" w:cs="Times New Roman"/>
          <w:sz w:val="28"/>
          <w:szCs w:val="28"/>
        </w:rPr>
      </w:pPr>
      <w:r>
        <w:t xml:space="preserve">        </w:t>
      </w:r>
      <w:r w:rsidRPr="00A53817">
        <w:rPr>
          <w:rFonts w:ascii="Times New Roman" w:hAnsi="Times New Roman" w:cs="Times New Roman"/>
          <w:sz w:val="28"/>
          <w:szCs w:val="28"/>
        </w:rPr>
        <w:t>ΙΙ.  Στην παρ. 3 του άρθρου 11 του ν. 2882 /2001 ,όπως τροποιήθηκε και ισχύει   ορίζεται  ότι :</w:t>
      </w:r>
    </w:p>
    <w:p w:rsidR="00076E74" w:rsidRPr="00A53817" w:rsidRDefault="00076E74" w:rsidP="00076E74">
      <w:pPr>
        <w:pStyle w:val="-HTML"/>
        <w:spacing w:line="360" w:lineRule="auto"/>
        <w:jc w:val="both"/>
        <w:rPr>
          <w:rFonts w:ascii="Times New Roman" w:hAnsi="Times New Roman" w:cs="Times New Roman"/>
          <w:i/>
          <w:sz w:val="28"/>
          <w:szCs w:val="28"/>
        </w:rPr>
      </w:pPr>
      <w:r w:rsidRPr="00A53817">
        <w:rPr>
          <w:rFonts w:ascii="Times New Roman" w:hAnsi="Times New Roman" w:cs="Times New Roman"/>
          <w:sz w:val="28"/>
          <w:szCs w:val="28"/>
        </w:rPr>
        <w:lastRenderedPageBreak/>
        <w:t xml:space="preserve"> &lt;&lt;3</w:t>
      </w:r>
      <w:r w:rsidRPr="00A53817">
        <w:rPr>
          <w:rFonts w:ascii="Times New Roman" w:hAnsi="Times New Roman" w:cs="Times New Roman"/>
          <w:i/>
          <w:sz w:val="28"/>
          <w:szCs w:val="28"/>
        </w:rPr>
        <w:t xml:space="preserve">. Η αναγκαστική απαλλοτρίωση </w:t>
      </w:r>
      <w:r w:rsidRPr="00A53817">
        <w:rPr>
          <w:rFonts w:ascii="Times New Roman" w:hAnsi="Times New Roman" w:cs="Times New Roman"/>
          <w:b/>
          <w:i/>
          <w:sz w:val="28"/>
          <w:szCs w:val="28"/>
        </w:rPr>
        <w:t>αίρεται αυτοδικαίως εάν δεν συντελεστεί μέσα σε ενάμισι έτος από τη δημοσίευση της απόφασης προσωρινού καθορισμού της αποζημίωσης και, σε περίπτωση απευθείας οριστικού καθορισμού αυτής, από τη δημοσίευση της σχετικής απόφασης</w:t>
      </w:r>
      <w:r w:rsidRPr="00A53817">
        <w:rPr>
          <w:rFonts w:ascii="Times New Roman" w:hAnsi="Times New Roman" w:cs="Times New Roman"/>
          <w:i/>
          <w:sz w:val="28"/>
          <w:szCs w:val="28"/>
        </w:rPr>
        <w:t>. Η αρμόδια για την κήρυξη της απαλλοτρίωσης αρχή υποχρεούται να εκδώσει μέσα σε τέσσερις μήνες από τη λήξη της προθεσμίας του προηγούμενου εδαφίου βεβαιωτική πράξη για την επελθούσα αυτοδίκαιη άρση. Η πράξη αυτή δημοσιεύεται στην Εφημερίδα της Κυβερνήσεως.</w:t>
      </w:r>
    </w:p>
    <w:p w:rsidR="00076E74" w:rsidRDefault="00076E74" w:rsidP="00076E74">
      <w:pPr>
        <w:pStyle w:val="-HTML"/>
        <w:spacing w:line="360" w:lineRule="auto"/>
        <w:jc w:val="both"/>
        <w:rPr>
          <w:rFonts w:ascii="Times New Roman" w:hAnsi="Times New Roman" w:cs="Times New Roman"/>
          <w:sz w:val="28"/>
          <w:szCs w:val="28"/>
        </w:rPr>
      </w:pPr>
      <w:r w:rsidRPr="00A53817">
        <w:rPr>
          <w:rFonts w:ascii="Times New Roman" w:hAnsi="Times New Roman" w:cs="Times New Roman"/>
          <w:b/>
          <w:i/>
          <w:sz w:val="28"/>
          <w:szCs w:val="28"/>
          <w:u w:val="single"/>
        </w:rPr>
        <w:t xml:space="preserve"> Εφόσον οι θιγόμενοι ιδιοκτήτες επιθυμούν τη διατήρηση της απαλλοτρίωσης που άρθηκε αυτοδίκαια λόγω παρέλευσης της ως άνω δεκαοκτάμηνης προθεσμίας, μπορούν να υποβάλλουν αίτηση και υπεύθυνη δήλωση προς την αρχή που εξέδωσε την απαλλοτριωτική απόφαση, μέσα σε προθεσμία ενός έτους από την παρέλευση της προθεσμίας, περί διατήρησης της απαλλοτρίωσης και καταβολής της δικαστικά καθορισμένης προσωρινής ή οριστικής αποζημίωσης. Αν το αίτημα γίνει δεκτό από την αρχή που κήρυξε την απαλλοτρίωση και υποχρεούται στην καταβολή της αποζημίωσης, δεν επιτρέπεται ο ανακαθορισμός της αποζημίωσης ή η αναζήτηση τόκων υπερημερία</w:t>
      </w:r>
      <w:r w:rsidRPr="00A53817">
        <w:rPr>
          <w:rFonts w:ascii="Times New Roman" w:hAnsi="Times New Roman" w:cs="Times New Roman"/>
          <w:i/>
          <w:sz w:val="28"/>
          <w:szCs w:val="28"/>
        </w:rPr>
        <w:t>ς</w:t>
      </w:r>
      <w:r w:rsidRPr="00A53817">
        <w:rPr>
          <w:rFonts w:ascii="Times New Roman" w:hAnsi="Times New Roman" w:cs="Times New Roman"/>
          <w:sz w:val="28"/>
          <w:szCs w:val="28"/>
        </w:rPr>
        <w:t>.</w:t>
      </w:r>
      <w:r>
        <w:rPr>
          <w:rFonts w:ascii="Times New Roman" w:hAnsi="Times New Roman" w:cs="Times New Roman"/>
          <w:sz w:val="28"/>
          <w:szCs w:val="28"/>
        </w:rPr>
        <w:t xml:space="preserve">&gt;&gt; </w:t>
      </w:r>
    </w:p>
    <w:p w:rsidR="00076E74" w:rsidRDefault="00076E74" w:rsidP="00076E74">
      <w:pPr>
        <w:pStyle w:val="-HTML"/>
        <w:spacing w:line="360" w:lineRule="auto"/>
        <w:jc w:val="both"/>
        <w:rPr>
          <w:rFonts w:ascii="Times New Roman" w:hAnsi="Times New Roman" w:cs="Times New Roman"/>
          <w:sz w:val="28"/>
          <w:szCs w:val="28"/>
        </w:rPr>
      </w:pPr>
    </w:p>
    <w:p w:rsidR="00076E74" w:rsidRDefault="00076E74" w:rsidP="00076E7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ΙΙΙ.  Στην προκειμένη υπόθεση  η  υπ αρ. 231/2014   απόφαση  καθορισμού προσωρινής τιμής μονάδος του  Μονομελούς Πρωτοδικείου Αθηνών  δημοσιεύθηκε  στις </w:t>
      </w:r>
      <w:r w:rsidRPr="004150E0">
        <w:rPr>
          <w:rFonts w:ascii="Times New Roman" w:hAnsi="Times New Roman" w:cs="Times New Roman"/>
          <w:sz w:val="28"/>
          <w:szCs w:val="28"/>
        </w:rPr>
        <w:t>30-4 -2014</w:t>
      </w:r>
      <w:r>
        <w:rPr>
          <w:rFonts w:ascii="Times New Roman" w:hAnsi="Times New Roman" w:cs="Times New Roman"/>
          <w:sz w:val="28"/>
          <w:szCs w:val="28"/>
        </w:rPr>
        <w:t xml:space="preserve">  οπότε     στις </w:t>
      </w:r>
      <w:r w:rsidRPr="004150E0">
        <w:rPr>
          <w:rFonts w:ascii="Times New Roman" w:hAnsi="Times New Roman" w:cs="Times New Roman"/>
          <w:sz w:val="28"/>
          <w:szCs w:val="28"/>
        </w:rPr>
        <w:t>30-10-2015</w:t>
      </w:r>
      <w:r>
        <w:rPr>
          <w:rFonts w:ascii="Times New Roman" w:hAnsi="Times New Roman" w:cs="Times New Roman"/>
          <w:sz w:val="28"/>
          <w:szCs w:val="28"/>
        </w:rPr>
        <w:t xml:space="preserve">  συμπληρώθηκε   ενάμισι έτος  ,  χωρίς εν τω μεταξύ   να συντελεστεί  η εν λόγω απαλλοτρίωση  με την νόμιμη  παρακατάθεση   υπέρ του δικαιούχου   της  καθορισθείσας   αποζημίωσης  και την Δημοσίευση της παρακατάθεσης στο ΦΕΚ ,   σύμφωνα με τα οριζόμενα στο άρθρο 8 του ν. 2882 /2001. Κατά  συνέπεια </w:t>
      </w:r>
      <w:r w:rsidR="004150E0">
        <w:rPr>
          <w:rFonts w:ascii="Times New Roman" w:hAnsi="Times New Roman" w:cs="Times New Roman"/>
          <w:sz w:val="28"/>
          <w:szCs w:val="28"/>
        </w:rPr>
        <w:t xml:space="preserve">μετά την πάροδο  άπρακτης της παραπάνω  </w:t>
      </w:r>
      <w:r>
        <w:rPr>
          <w:rFonts w:ascii="Times New Roman" w:hAnsi="Times New Roman" w:cs="Times New Roman"/>
          <w:sz w:val="28"/>
          <w:szCs w:val="28"/>
        </w:rPr>
        <w:t xml:space="preserve"> </w:t>
      </w:r>
      <w:r w:rsidR="004150E0">
        <w:rPr>
          <w:rFonts w:ascii="Times New Roman" w:hAnsi="Times New Roman" w:cs="Times New Roman"/>
          <w:sz w:val="28"/>
          <w:szCs w:val="28"/>
        </w:rPr>
        <w:lastRenderedPageBreak/>
        <w:t xml:space="preserve">δεκαοκτάμηνης   προθεσμίας για την παρακατάθεση της αποζημίωσης   </w:t>
      </w:r>
      <w:r>
        <w:rPr>
          <w:rFonts w:ascii="Times New Roman" w:hAnsi="Times New Roman" w:cs="Times New Roman"/>
          <w:sz w:val="28"/>
          <w:szCs w:val="28"/>
        </w:rPr>
        <w:t xml:space="preserve">επήλθε  αυτοδίκαιη  άρση </w:t>
      </w:r>
      <w:r w:rsidR="004150E0">
        <w:rPr>
          <w:rFonts w:ascii="Times New Roman" w:hAnsi="Times New Roman" w:cs="Times New Roman"/>
          <w:sz w:val="28"/>
          <w:szCs w:val="28"/>
        </w:rPr>
        <w:t xml:space="preserve"> της απαλλοτρίωσης </w:t>
      </w:r>
      <w:r>
        <w:rPr>
          <w:rFonts w:ascii="Times New Roman" w:hAnsi="Times New Roman" w:cs="Times New Roman"/>
          <w:sz w:val="28"/>
          <w:szCs w:val="28"/>
        </w:rPr>
        <w:t xml:space="preserve"> σύμφωνα με  την </w:t>
      </w:r>
      <w:r w:rsidRPr="00A53817">
        <w:rPr>
          <w:rFonts w:ascii="Times New Roman" w:hAnsi="Times New Roman" w:cs="Times New Roman"/>
          <w:sz w:val="28"/>
          <w:szCs w:val="28"/>
        </w:rPr>
        <w:t xml:space="preserve">παρ. 3 </w:t>
      </w:r>
      <w:r>
        <w:rPr>
          <w:rFonts w:ascii="Times New Roman" w:hAnsi="Times New Roman" w:cs="Times New Roman"/>
          <w:sz w:val="28"/>
          <w:szCs w:val="28"/>
        </w:rPr>
        <w:t xml:space="preserve">εδ. 1 </w:t>
      </w:r>
      <w:r w:rsidRPr="00A53817">
        <w:rPr>
          <w:rFonts w:ascii="Times New Roman" w:hAnsi="Times New Roman" w:cs="Times New Roman"/>
          <w:sz w:val="28"/>
          <w:szCs w:val="28"/>
        </w:rPr>
        <w:t xml:space="preserve">του άρθρου 11 του ν. 2882 /2001 </w:t>
      </w:r>
      <w:r>
        <w:rPr>
          <w:rFonts w:ascii="Times New Roman" w:hAnsi="Times New Roman" w:cs="Times New Roman"/>
          <w:sz w:val="28"/>
          <w:szCs w:val="28"/>
        </w:rPr>
        <w:t xml:space="preserve">   .  </w:t>
      </w:r>
    </w:p>
    <w:p w:rsidR="00076E74" w:rsidRDefault="00076E74" w:rsidP="00076E74">
      <w:pPr>
        <w:spacing w:line="360" w:lineRule="auto"/>
        <w:jc w:val="both"/>
      </w:pPr>
      <w:r>
        <w:t xml:space="preserve">Για το λόγο  αυτό  με το </w:t>
      </w:r>
      <w:r w:rsidR="004150E0">
        <w:t xml:space="preserve">με αρ. πρωτ. 13530 </w:t>
      </w:r>
      <w:r w:rsidR="00506312">
        <w:t>/3</w:t>
      </w:r>
      <w:r>
        <w:t xml:space="preserve">-6-2016  έγγραφο –Πρόσκληση  του  κ. Δημάρχου  ,ως νομίμου εκπροσώπου του Δήμου Μοσχάτου -Ταύρου , προς τον κ. Πανταζή,   αφενός  γνωστοποιήθηκε  σ΄ αυτόν , ότι εξαιτίας της  αυτοδίκαιης άρσης της απαλλοτρίωσης  ,λόγω παρόδου  του δεκαοκταμήνου , </w:t>
      </w:r>
      <w:r w:rsidRPr="00506312">
        <w:rPr>
          <w:b/>
        </w:rPr>
        <w:t>πρέπει,  εφόσον  επιθυμεί την διατήρηση  της απαλλοτρίωσης και την αποζημίωσή του</w:t>
      </w:r>
      <w:r>
        <w:t xml:space="preserve"> ,  να  ακολουθηθεί η διαδικασία  που προβλέπεται   στο άρθρο  11 παρ. 3 εδ. 2 του ν.  2882/2001</w:t>
      </w:r>
      <w:r w:rsidR="00506312">
        <w:t xml:space="preserve">και αναφέρθηκε παραπάνω </w:t>
      </w:r>
      <w:r>
        <w:t xml:space="preserve">  και </w:t>
      </w:r>
      <w:r w:rsidR="00506312">
        <w:t xml:space="preserve"> </w:t>
      </w:r>
      <w:r>
        <w:t xml:space="preserve"> αφετέρου   προσκλήθηκε   να   υποβάλλει την σχετική αίτηση και υπεύθυνη   δήλωση  </w:t>
      </w:r>
      <w:r w:rsidR="00506312">
        <w:t>(σχετ. 4)</w:t>
      </w:r>
      <w:r>
        <w:t xml:space="preserve"> .   </w:t>
      </w:r>
    </w:p>
    <w:p w:rsidR="00076E74" w:rsidRDefault="00DA39DF" w:rsidP="00076E74">
      <w:pPr>
        <w:spacing w:line="360" w:lineRule="auto"/>
      </w:pPr>
      <w:r>
        <w:t xml:space="preserve">       Σ</w:t>
      </w:r>
      <w:r w:rsidR="00076E74">
        <w:t xml:space="preserve">τις 13-6- 2016   υπεβλήθη πράγματι  από τον  κ. Κων/νο  Πανταζή    η με αρ.  πρωτ.14514/13-6-2016    αίτηση  του  συνοδευόμενη από την με ίδια ημερομηνία   13-6-2016 υπεύθυνη δήλωση αυτού  </w:t>
      </w:r>
      <w:r w:rsidR="00506312">
        <w:t xml:space="preserve">(σχετ. 5) </w:t>
      </w:r>
      <w:r w:rsidR="00076E74">
        <w:t xml:space="preserve"> .</w:t>
      </w:r>
    </w:p>
    <w:p w:rsidR="00076E74" w:rsidRDefault="00506312" w:rsidP="00076E74">
      <w:pPr>
        <w:spacing w:line="360" w:lineRule="auto"/>
        <w:jc w:val="both"/>
      </w:pPr>
      <w:r>
        <w:rPr>
          <w:b/>
        </w:rPr>
        <w:t xml:space="preserve">     </w:t>
      </w:r>
      <w:r w:rsidR="00076E74" w:rsidRPr="00506312">
        <w:rPr>
          <w:b/>
        </w:rPr>
        <w:t>ΙV.</w:t>
      </w:r>
      <w:r w:rsidR="00076E74">
        <w:t xml:space="preserve">  Κατόπιν  όσων προαναφέρθηκαν και αφού έλαβα υπόψη  όλα τα σχετικά έγγραφα καθώς και  την εισήγηση  της Δ/νσης Τεχνικών Υπηρεσιών  , </w:t>
      </w:r>
      <w:r w:rsidR="00076E74" w:rsidRPr="00506312">
        <w:rPr>
          <w:b/>
        </w:rPr>
        <w:t>έχω την γνώμη</w:t>
      </w:r>
      <w:r w:rsidR="00076E74">
        <w:t xml:space="preserve"> ,</w:t>
      </w:r>
      <w:r w:rsidR="00076E74" w:rsidRPr="00D02229">
        <w:rPr>
          <w:b/>
        </w:rPr>
        <w:t xml:space="preserve">ότι συντρέχουν όλες οι νόμιμες προϋποθέσεις </w:t>
      </w:r>
      <w:r w:rsidR="00076E74">
        <w:rPr>
          <w:b/>
        </w:rPr>
        <w:t xml:space="preserve"> , ώστε </w:t>
      </w:r>
      <w:r w:rsidR="00076E74" w:rsidRPr="00D02229">
        <w:rPr>
          <w:b/>
        </w:rPr>
        <w:t xml:space="preserve">  το Δημοτικό Συμβούλιο του Δήμου Μοσχάτου –Ταύρου ,  ως η   αρχή ,  υπέρ ης η απαλλοτρίωση  και υπόχρεη στην καταβολή της αποζημίωσης</w:t>
      </w:r>
      <w:r w:rsidR="00076E74">
        <w:t xml:space="preserve"> </w:t>
      </w:r>
      <w:r>
        <w:t xml:space="preserve"> </w:t>
      </w:r>
      <w:r w:rsidR="00076E74" w:rsidRPr="00506312">
        <w:rPr>
          <w:b/>
        </w:rPr>
        <w:t>α)</w:t>
      </w:r>
      <w:r w:rsidR="00076E74">
        <w:t xml:space="preserve">  ν</w:t>
      </w:r>
      <w:r w:rsidR="00076E74" w:rsidRPr="00D02229">
        <w:rPr>
          <w:b/>
        </w:rPr>
        <w:t xml:space="preserve">α </w:t>
      </w:r>
      <w:r w:rsidR="00076E74">
        <w:rPr>
          <w:b/>
        </w:rPr>
        <w:t xml:space="preserve"> κάνει δεκτή </w:t>
      </w:r>
      <w:r w:rsidR="00076E74">
        <w:t xml:space="preserve"> την  με αρ. πρωτ. 5956/9-3-2016  αίτηση του Κων/νου Πανταζή  όπως αυτή  συμπληρώθηκε με την με αρ.  πρωτ.14514/13-6-2016    αίτηση του ιδίου  και  συνοδεύεται  από την   από 13-6-2016 υπ</w:t>
      </w:r>
      <w:r>
        <w:t xml:space="preserve">εύθυνη δήλωσή του  σύμφωνα με  </w:t>
      </w:r>
      <w:r w:rsidR="00076E74">
        <w:t>τα οριζόμενα  στο άρθρο  11 παρ. 3 εδ. 2 του ν.  2882/2001.</w:t>
      </w:r>
    </w:p>
    <w:p w:rsidR="00076E74" w:rsidRDefault="00076E74" w:rsidP="00076E74">
      <w:pPr>
        <w:spacing w:line="360" w:lineRule="auto"/>
        <w:jc w:val="both"/>
      </w:pPr>
      <w:r>
        <w:t xml:space="preserve"> </w:t>
      </w:r>
      <w:r w:rsidRPr="00506312">
        <w:rPr>
          <w:b/>
        </w:rPr>
        <w:t>β)</w:t>
      </w:r>
      <w:r>
        <w:t xml:space="preserve"> </w:t>
      </w:r>
      <w:r w:rsidRPr="00506312">
        <w:rPr>
          <w:b/>
        </w:rPr>
        <w:t xml:space="preserve">να </w:t>
      </w:r>
      <w:r w:rsidRPr="00D02229">
        <w:rPr>
          <w:b/>
        </w:rPr>
        <w:t xml:space="preserve"> </w:t>
      </w:r>
      <w:r>
        <w:rPr>
          <w:b/>
        </w:rPr>
        <w:t xml:space="preserve">λάβει  απόφαση  </w:t>
      </w:r>
      <w:r w:rsidRPr="00506312">
        <w:t>για</w:t>
      </w:r>
      <w:r>
        <w:rPr>
          <w:b/>
        </w:rPr>
        <w:t xml:space="preserve"> </w:t>
      </w:r>
      <w:r>
        <w:t xml:space="preserve">την καταβολή της νόμιμης  αποζημίωσης  που προσδιορίστηκε   με την  υπ αρ. 5427 /2015  απόφαση  του Εφετείου Αθηνών , στον αναγνωρισθέντα δικαιούχο αυτής  Κων/νο Πανταζή, </w:t>
      </w:r>
      <w:r>
        <w:lastRenderedPageBreak/>
        <w:t xml:space="preserve">καθώς και  της δικαστικής δαπάνης του αιτούντος  και της αμοιβής του πληρεξουσίου  δικηγόρου  του  που προσδιορίστηκαν με την ίδια απόφαση . </w:t>
      </w:r>
    </w:p>
    <w:p w:rsidR="00076E74" w:rsidRPr="00036A35" w:rsidRDefault="00076E74" w:rsidP="00076E74">
      <w:pPr>
        <w:spacing w:line="360" w:lineRule="auto"/>
        <w:jc w:val="both"/>
        <w:rPr>
          <w:szCs w:val="28"/>
        </w:rPr>
      </w:pPr>
    </w:p>
    <w:p w:rsidR="00076E74" w:rsidRDefault="00076E74" w:rsidP="00076E74">
      <w:pPr>
        <w:rPr>
          <w:smallCaps/>
        </w:rPr>
      </w:pPr>
    </w:p>
    <w:p w:rsidR="00076E74" w:rsidRDefault="00076E74" w:rsidP="00076E74">
      <w:pPr>
        <w:spacing w:line="360" w:lineRule="auto"/>
        <w:jc w:val="center"/>
      </w:pPr>
      <w:r>
        <w:rPr>
          <w:smallCaps/>
        </w:rPr>
        <w:t xml:space="preserve">Η  </w:t>
      </w:r>
      <w:r>
        <w:t>Δικηγόρος  του Δήμου</w:t>
      </w:r>
    </w:p>
    <w:p w:rsidR="00076E74" w:rsidRPr="00332CE7" w:rsidRDefault="00076E74" w:rsidP="00076E74">
      <w:pPr>
        <w:spacing w:line="360" w:lineRule="auto"/>
        <w:jc w:val="center"/>
      </w:pPr>
    </w:p>
    <w:p w:rsidR="00076E74" w:rsidRPr="002400C3" w:rsidRDefault="00076E74" w:rsidP="00076E74">
      <w:pPr>
        <w:spacing w:line="360" w:lineRule="auto"/>
        <w:jc w:val="center"/>
      </w:pPr>
      <w:r>
        <w:t>Βασιλική   Γ. Κοντοέ –Παπαθωμά</w:t>
      </w:r>
    </w:p>
    <w:p w:rsidR="00076E74" w:rsidRPr="002400C3" w:rsidRDefault="00076E74" w:rsidP="00076E74">
      <w:pPr>
        <w:spacing w:line="360" w:lineRule="auto"/>
        <w:jc w:val="center"/>
      </w:pPr>
    </w:p>
    <w:p w:rsidR="00B114F8" w:rsidRDefault="00B114F8"/>
    <w:sectPr w:rsidR="00B114F8" w:rsidSect="009B293F">
      <w:headerReference w:type="even" r:id="rId7"/>
      <w:headerReference w:type="default" r:id="rId8"/>
      <w:footerReference w:type="even" r:id="rId9"/>
      <w:footerReference w:type="default" r:id="rId10"/>
      <w:headerReference w:type="first" r:id="rId11"/>
      <w:footerReference w:type="first" r:id="rId12"/>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F16" w:rsidRDefault="00E66F16" w:rsidP="00A270BA">
      <w:r>
        <w:separator/>
      </w:r>
    </w:p>
  </w:endnote>
  <w:endnote w:type="continuationSeparator" w:id="0">
    <w:p w:rsidR="00E66F16" w:rsidRDefault="00E66F16" w:rsidP="00A27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BB" w:rsidRDefault="00E66F1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BB" w:rsidRDefault="00A270BA">
    <w:pPr>
      <w:pStyle w:val="a5"/>
      <w:jc w:val="center"/>
    </w:pPr>
    <w:r>
      <w:fldChar w:fldCharType="begin"/>
    </w:r>
    <w:r w:rsidR="00076E74">
      <w:instrText xml:space="preserve"> PAGE   \* MERGEFORMAT </w:instrText>
    </w:r>
    <w:r>
      <w:fldChar w:fldCharType="separate"/>
    </w:r>
    <w:r w:rsidR="00616C0B">
      <w:rPr>
        <w:noProof/>
      </w:rPr>
      <w:t>2</w:t>
    </w:r>
    <w:r>
      <w:fldChar w:fldCharType="end"/>
    </w:r>
  </w:p>
  <w:p w:rsidR="00977BBB" w:rsidRDefault="00E66F1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BB" w:rsidRDefault="00E66F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F16" w:rsidRDefault="00E66F16" w:rsidP="00A270BA">
      <w:r>
        <w:separator/>
      </w:r>
    </w:p>
  </w:footnote>
  <w:footnote w:type="continuationSeparator" w:id="0">
    <w:p w:rsidR="00E66F16" w:rsidRDefault="00E66F16" w:rsidP="00A270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BB" w:rsidRDefault="00E66F1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BB" w:rsidRDefault="00E66F1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BB" w:rsidRDefault="00E66F1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76E74"/>
    <w:rsid w:val="00076E74"/>
    <w:rsid w:val="004150E0"/>
    <w:rsid w:val="00506312"/>
    <w:rsid w:val="00616C0B"/>
    <w:rsid w:val="00A270BA"/>
    <w:rsid w:val="00B114F8"/>
    <w:rsid w:val="00D448D0"/>
    <w:rsid w:val="00DA39DF"/>
    <w:rsid w:val="00E66F16"/>
    <w:rsid w:val="00F72C24"/>
    <w:rsid w:val="00FB03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D806D9-C8BC-412D-9F93-7F8E6294E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E74"/>
    <w:pPr>
      <w:overflowPunct w:val="0"/>
      <w:autoSpaceDE w:val="0"/>
      <w:autoSpaceDN w:val="0"/>
      <w:adjustRightInd w:val="0"/>
      <w:spacing w:after="0" w:line="240" w:lineRule="auto"/>
    </w:pPr>
    <w:rPr>
      <w:rFonts w:ascii="Times New Roman" w:eastAsia="Times New Roman" w:hAnsi="Times New Roman" w:cs="Times New Roman"/>
      <w:sz w:val="28"/>
      <w:szCs w:val="20"/>
      <w:lang w:eastAsia="el-GR"/>
    </w:rPr>
  </w:style>
  <w:style w:type="paragraph" w:styleId="1">
    <w:name w:val="heading 1"/>
    <w:basedOn w:val="a"/>
    <w:next w:val="a"/>
    <w:link w:val="1Char"/>
    <w:qFormat/>
    <w:rsid w:val="00076E74"/>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76E74"/>
    <w:rPr>
      <w:rFonts w:ascii="Times New Roman" w:eastAsia="Times New Roman" w:hAnsi="Times New Roman" w:cs="Times New Roman"/>
      <w:sz w:val="24"/>
      <w:szCs w:val="20"/>
      <w:lang w:eastAsia="el-GR"/>
    </w:rPr>
  </w:style>
  <w:style w:type="paragraph" w:styleId="a3">
    <w:name w:val="caption"/>
    <w:basedOn w:val="a"/>
    <w:next w:val="a"/>
    <w:qFormat/>
    <w:rsid w:val="00076E74"/>
    <w:pPr>
      <w:jc w:val="both"/>
    </w:pPr>
    <w:rPr>
      <w:rFonts w:ascii="Tahoma" w:hAnsi="Tahoma"/>
      <w:b/>
      <w:sz w:val="24"/>
    </w:rPr>
  </w:style>
  <w:style w:type="paragraph" w:styleId="a4">
    <w:name w:val="header"/>
    <w:basedOn w:val="a"/>
    <w:link w:val="Char"/>
    <w:rsid w:val="00076E74"/>
    <w:pPr>
      <w:tabs>
        <w:tab w:val="center" w:pos="4153"/>
        <w:tab w:val="right" w:pos="8306"/>
      </w:tabs>
    </w:pPr>
  </w:style>
  <w:style w:type="character" w:customStyle="1" w:styleId="Char">
    <w:name w:val="Κεφαλίδα Char"/>
    <w:basedOn w:val="a0"/>
    <w:link w:val="a4"/>
    <w:rsid w:val="00076E74"/>
    <w:rPr>
      <w:rFonts w:ascii="Times New Roman" w:eastAsia="Times New Roman" w:hAnsi="Times New Roman" w:cs="Times New Roman"/>
      <w:sz w:val="28"/>
      <w:szCs w:val="20"/>
      <w:lang w:eastAsia="el-GR"/>
    </w:rPr>
  </w:style>
  <w:style w:type="paragraph" w:styleId="a5">
    <w:name w:val="footer"/>
    <w:basedOn w:val="a"/>
    <w:link w:val="Char0"/>
    <w:uiPriority w:val="99"/>
    <w:rsid w:val="00076E74"/>
    <w:pPr>
      <w:tabs>
        <w:tab w:val="center" w:pos="4153"/>
        <w:tab w:val="right" w:pos="8306"/>
      </w:tabs>
    </w:pPr>
  </w:style>
  <w:style w:type="character" w:customStyle="1" w:styleId="Char0">
    <w:name w:val="Υποσέλιδο Char"/>
    <w:basedOn w:val="a0"/>
    <w:link w:val="a5"/>
    <w:uiPriority w:val="99"/>
    <w:rsid w:val="00076E74"/>
    <w:rPr>
      <w:rFonts w:ascii="Times New Roman" w:eastAsia="Times New Roman" w:hAnsi="Times New Roman" w:cs="Times New Roman"/>
      <w:sz w:val="28"/>
      <w:szCs w:val="20"/>
      <w:lang w:eastAsia="el-GR"/>
    </w:rPr>
  </w:style>
  <w:style w:type="character" w:customStyle="1" w:styleId="BodyText2Char">
    <w:name w:val="Body Text 2 Char"/>
    <w:basedOn w:val="a0"/>
    <w:link w:val="21"/>
    <w:locked/>
    <w:rsid w:val="00076E74"/>
    <w:rPr>
      <w:rFonts w:ascii="Arial" w:hAnsi="Arial" w:cs="Arial"/>
      <w:sz w:val="24"/>
    </w:rPr>
  </w:style>
  <w:style w:type="paragraph" w:customStyle="1" w:styleId="21">
    <w:name w:val="Σώμα κείμενου 21"/>
    <w:basedOn w:val="a"/>
    <w:link w:val="BodyText2Char"/>
    <w:rsid w:val="00076E74"/>
    <w:pPr>
      <w:spacing w:line="360" w:lineRule="auto"/>
      <w:ind w:left="567"/>
      <w:jc w:val="both"/>
    </w:pPr>
    <w:rPr>
      <w:rFonts w:ascii="Arial" w:eastAsiaTheme="minorHAnsi" w:hAnsi="Arial" w:cs="Arial"/>
      <w:sz w:val="24"/>
      <w:szCs w:val="22"/>
      <w:lang w:eastAsia="en-US"/>
    </w:rPr>
  </w:style>
  <w:style w:type="paragraph" w:styleId="-HTML">
    <w:name w:val="HTML Preformatted"/>
    <w:basedOn w:val="a"/>
    <w:link w:val="-HTMLChar"/>
    <w:uiPriority w:val="99"/>
    <w:unhideWhenUsed/>
    <w:rsid w:val="00076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rPr>
  </w:style>
  <w:style w:type="character" w:customStyle="1" w:styleId="-HTMLChar">
    <w:name w:val="Προ-διαμορφωμένο HTML Char"/>
    <w:basedOn w:val="a0"/>
    <w:link w:val="-HTML"/>
    <w:uiPriority w:val="99"/>
    <w:rsid w:val="00076E74"/>
    <w:rPr>
      <w:rFonts w:ascii="Courier New" w:eastAsia="Times New Roman" w:hAnsi="Courier New" w:cs="Courier New"/>
      <w:sz w:val="20"/>
      <w:szCs w:val="20"/>
      <w:lang w:eastAsia="el-GR"/>
    </w:rPr>
  </w:style>
  <w:style w:type="paragraph" w:styleId="a6">
    <w:name w:val="Balloon Text"/>
    <w:basedOn w:val="a"/>
    <w:link w:val="Char1"/>
    <w:uiPriority w:val="99"/>
    <w:semiHidden/>
    <w:unhideWhenUsed/>
    <w:rsid w:val="00076E74"/>
    <w:rPr>
      <w:rFonts w:ascii="Tahoma" w:hAnsi="Tahoma" w:cs="Tahoma"/>
      <w:sz w:val="16"/>
      <w:szCs w:val="16"/>
    </w:rPr>
  </w:style>
  <w:style w:type="character" w:customStyle="1" w:styleId="Char1">
    <w:name w:val="Κείμενο πλαισίου Char"/>
    <w:basedOn w:val="a0"/>
    <w:link w:val="a6"/>
    <w:uiPriority w:val="99"/>
    <w:semiHidden/>
    <w:rsid w:val="00076E74"/>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1280</Words>
  <Characters>6915</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NYKontoe</dc:creator>
  <cp:keywords/>
  <dc:description/>
  <cp:lastModifiedBy>user</cp:lastModifiedBy>
  <cp:revision>4</cp:revision>
  <dcterms:created xsi:type="dcterms:W3CDTF">2016-07-22T05:47:00Z</dcterms:created>
  <dcterms:modified xsi:type="dcterms:W3CDTF">2016-07-22T07:50:00Z</dcterms:modified>
</cp:coreProperties>
</file>